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B74A" w14:textId="77777777" w:rsidR="004A4CD9" w:rsidRDefault="004A4CD9" w:rsidP="004A4CD9">
      <w:pPr>
        <w:jc w:val="both"/>
        <w:rPr>
          <w:rFonts w:cs="Calibri"/>
        </w:rPr>
      </w:pPr>
    </w:p>
    <w:p w14:paraId="5652E664" w14:textId="5946A9E4" w:rsidR="00303C07" w:rsidRDefault="004A4CD9" w:rsidP="00D342C2">
      <w:pPr>
        <w:jc w:val="both"/>
        <w:rPr>
          <w:rFonts w:cs="Calibri"/>
        </w:rPr>
      </w:pPr>
      <w:r w:rsidRPr="000D6AC2">
        <w:rPr>
          <w:rFonts w:cs="Calibri"/>
        </w:rPr>
        <w:t xml:space="preserve">L'association de l'Écomusée d'Alsace anime et gère un des plus grands sites touristiques d’Alsace. Dédié au patrimoine rural et agricole de notre région il abrite </w:t>
      </w:r>
      <w:r w:rsidR="00303C07">
        <w:rPr>
          <w:rFonts w:cs="Calibri"/>
        </w:rPr>
        <w:t>8</w:t>
      </w:r>
      <w:r w:rsidRPr="000D6AC2">
        <w:rPr>
          <w:rFonts w:cs="Calibri"/>
        </w:rPr>
        <w:t>0 bâtiments</w:t>
      </w:r>
      <w:r>
        <w:rPr>
          <w:rFonts w:cs="Calibri"/>
        </w:rPr>
        <w:t xml:space="preserve"> </w:t>
      </w:r>
      <w:r w:rsidR="00303C07">
        <w:rPr>
          <w:rFonts w:cs="Calibri"/>
        </w:rPr>
        <w:t xml:space="preserve">dont 70 « historiques » </w:t>
      </w:r>
      <w:r>
        <w:rPr>
          <w:rFonts w:cs="Calibri"/>
        </w:rPr>
        <w:t>et une grande richesse de milieux (vergers, mares, jardins, champs…)</w:t>
      </w:r>
      <w:r w:rsidRPr="000D6AC2">
        <w:rPr>
          <w:rFonts w:cs="Calibri"/>
        </w:rPr>
        <w:t>.</w:t>
      </w:r>
      <w:r w:rsidR="00D342C2">
        <w:rPr>
          <w:rFonts w:cs="Calibri"/>
        </w:rPr>
        <w:t xml:space="preserve"> </w:t>
      </w:r>
    </w:p>
    <w:p w14:paraId="26FB89A9" w14:textId="284E139B" w:rsidR="00D342C2" w:rsidRPr="00303C07" w:rsidRDefault="00D342C2" w:rsidP="00D342C2">
      <w:pPr>
        <w:jc w:val="both"/>
        <w:rPr>
          <w:rFonts w:cs="Calibri"/>
        </w:rPr>
      </w:pPr>
      <w:r w:rsidRPr="00303C07">
        <w:rPr>
          <w:rFonts w:cs="Calibri"/>
        </w:rPr>
        <w:t xml:space="preserve">Il permet aux visiteurs de découvrir le patrimoine régional matériel, immatériel et naturel et les modes de vie alsaciens traditionnels. </w:t>
      </w:r>
    </w:p>
    <w:p w14:paraId="689919C9" w14:textId="170477DA" w:rsidR="004A4CD9" w:rsidRPr="000D6AC2" w:rsidRDefault="004A4CD9" w:rsidP="004A4CD9">
      <w:pPr>
        <w:jc w:val="both"/>
        <w:rPr>
          <w:rFonts w:cs="Calibri"/>
        </w:rPr>
      </w:pPr>
    </w:p>
    <w:p w14:paraId="244A3F72" w14:textId="1D5AA61B" w:rsidR="00CA208B" w:rsidRPr="00CA208B" w:rsidRDefault="004A4CD9" w:rsidP="00CA208B">
      <w:pPr>
        <w:jc w:val="both"/>
        <w:rPr>
          <w:rFonts w:cs="Calibri"/>
        </w:rPr>
      </w:pPr>
      <w:r w:rsidRPr="00303C07">
        <w:rPr>
          <w:rFonts w:cs="Calibri"/>
        </w:rPr>
        <w:t>Le musée abrite également un centre pédagogique qui s’occupe spécifiquement des publics scolaires et périscolaires</w:t>
      </w:r>
      <w:r w:rsidR="00CA208B">
        <w:rPr>
          <w:rFonts w:cs="Calibri"/>
        </w:rPr>
        <w:t xml:space="preserve"> et</w:t>
      </w:r>
      <w:r w:rsidR="00CA208B">
        <w:t xml:space="preserve"> accueille des enfants dans le cadre de journées pédagogiques et de classes découvertes. Il dispose</w:t>
      </w:r>
      <w:r w:rsidR="00CA208B" w:rsidRPr="00EF39B4">
        <w:t xml:space="preserve"> d’une cap</w:t>
      </w:r>
      <w:r w:rsidR="00CA208B">
        <w:t xml:space="preserve">acité d’hébergement de 32 lits et propose des </w:t>
      </w:r>
      <w:r w:rsidR="00CA208B" w:rsidRPr="00EF39B4">
        <w:t>séjour</w:t>
      </w:r>
      <w:r w:rsidR="00CA208B">
        <w:t>s</w:t>
      </w:r>
      <w:r w:rsidR="00CA208B" w:rsidRPr="00EF39B4">
        <w:t xml:space="preserve"> d’une semaine ou de quelques jours</w:t>
      </w:r>
      <w:r w:rsidR="00CA208B">
        <w:t xml:space="preserve">. </w:t>
      </w:r>
    </w:p>
    <w:p w14:paraId="547F2DED" w14:textId="39A32AA8" w:rsidR="004A4CD9" w:rsidRPr="00303C07" w:rsidRDefault="004A4CD9" w:rsidP="004A4CD9">
      <w:pPr>
        <w:jc w:val="both"/>
        <w:rPr>
          <w:rFonts w:cs="Calibri"/>
        </w:rPr>
      </w:pPr>
      <w:r w:rsidRPr="00303C07">
        <w:rPr>
          <w:rFonts w:cs="Calibri"/>
        </w:rPr>
        <w:t xml:space="preserve">Dans ce cadre, nous recrutons un </w:t>
      </w:r>
      <w:r w:rsidR="00CA208B" w:rsidRPr="00694538">
        <w:rPr>
          <w:b/>
        </w:rPr>
        <w:t>agent de service</w:t>
      </w:r>
      <w:r w:rsidR="00CA208B">
        <w:t>.</w:t>
      </w:r>
    </w:p>
    <w:p w14:paraId="2E11CB3E" w14:textId="6D3D1B15" w:rsidR="004A4CD9" w:rsidRPr="00303C07" w:rsidRDefault="004A4CD9" w:rsidP="004A4CD9">
      <w:pPr>
        <w:jc w:val="both"/>
        <w:rPr>
          <w:rFonts w:cs="Calibri"/>
        </w:rPr>
      </w:pPr>
    </w:p>
    <w:p w14:paraId="7F6677AD" w14:textId="4D2D7FB2" w:rsidR="004A4CD9" w:rsidRPr="00324D63" w:rsidRDefault="004A4CD9" w:rsidP="004A4CD9">
      <w:pPr>
        <w:rPr>
          <w:rFonts w:cs="Calibri"/>
          <w:b/>
        </w:rPr>
      </w:pPr>
    </w:p>
    <w:p w14:paraId="018F0901" w14:textId="77777777" w:rsidR="00CA208B" w:rsidRPr="00960FFC" w:rsidRDefault="00CA208B" w:rsidP="00CA208B">
      <w:pPr>
        <w:pStyle w:val="Body1"/>
        <w:rPr>
          <w:rFonts w:asciiTheme="minorHAnsi" w:hAnsiTheme="minorHAnsi"/>
          <w:szCs w:val="24"/>
        </w:rPr>
      </w:pPr>
      <w:r w:rsidRPr="00CA208B">
        <w:rPr>
          <w:rFonts w:asciiTheme="minorHAnsi" w:hAnsiTheme="minorHAnsi"/>
          <w:b/>
          <w:szCs w:val="24"/>
        </w:rPr>
        <w:t>Activité</w:t>
      </w:r>
      <w:r w:rsidRPr="00960FFC">
        <w:rPr>
          <w:rFonts w:asciiTheme="minorHAnsi" w:hAnsiTheme="minorHAnsi"/>
          <w:szCs w:val="24"/>
        </w:rPr>
        <w:t xml:space="preserve"> : </w:t>
      </w:r>
    </w:p>
    <w:p w14:paraId="67590BF4" w14:textId="1E0598B7" w:rsidR="00CA208B" w:rsidRPr="00CA208B" w:rsidRDefault="00CA208B" w:rsidP="00CA208B">
      <w:pPr>
        <w:pStyle w:val="Body1"/>
        <w:rPr>
          <w:rFonts w:asciiTheme="minorHAnsi" w:eastAsiaTheme="minorEastAsia" w:hAnsiTheme="minorHAnsi" w:cs="Calibri"/>
          <w:color w:val="auto"/>
          <w:szCs w:val="24"/>
        </w:rPr>
      </w:pPr>
      <w:r w:rsidRPr="00CA208B">
        <w:rPr>
          <w:rFonts w:asciiTheme="minorHAnsi" w:eastAsiaTheme="minorEastAsia" w:hAnsiTheme="minorHAnsi" w:cs="Calibri"/>
          <w:color w:val="auto"/>
          <w:szCs w:val="24"/>
        </w:rPr>
        <w:t>Directement sous l’autorité du responsable du Service Pédagogique, le candidat réalise les travaux d’entretien et de nettoyage au centre pédagogique :</w:t>
      </w:r>
    </w:p>
    <w:p w14:paraId="5E2C905E" w14:textId="77777777" w:rsidR="00CA208B" w:rsidRPr="00CA208B" w:rsidRDefault="00CA208B" w:rsidP="00CA208B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CA208B">
        <w:rPr>
          <w:rFonts w:asciiTheme="minorHAnsi" w:eastAsiaTheme="minorEastAsia" w:hAnsiTheme="minorHAnsi" w:cs="Calibri"/>
          <w:color w:val="auto"/>
          <w:szCs w:val="24"/>
        </w:rPr>
        <w:t>Nettoyer et entretenir les locaux (1 réfectoire divisé en 3 salles, 1 salle de classe, 1 espace « cuisine »), douches et toilettes</w:t>
      </w:r>
    </w:p>
    <w:p w14:paraId="6EAB4DB2" w14:textId="77777777" w:rsidR="00CA208B" w:rsidRPr="00CA208B" w:rsidRDefault="00CA208B" w:rsidP="00CA208B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CA208B">
        <w:rPr>
          <w:rFonts w:asciiTheme="minorHAnsi" w:eastAsiaTheme="minorEastAsia" w:hAnsiTheme="minorHAnsi" w:cs="Calibri"/>
          <w:color w:val="auto"/>
          <w:szCs w:val="24"/>
        </w:rPr>
        <w:t>Nettoyer et entretenir les chambres. Changer les draps et faire les lits 1 fois par semaine</w:t>
      </w:r>
    </w:p>
    <w:p w14:paraId="3CD0A6EA" w14:textId="77777777" w:rsidR="00CA208B" w:rsidRPr="00CA208B" w:rsidRDefault="00CA208B" w:rsidP="00CA208B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CA208B">
        <w:rPr>
          <w:rFonts w:asciiTheme="minorHAnsi" w:eastAsiaTheme="minorEastAsia" w:hAnsiTheme="minorHAnsi" w:cs="Calibri"/>
          <w:color w:val="auto"/>
          <w:szCs w:val="24"/>
        </w:rPr>
        <w:t>Préparer le petit déjeuner et le goûter</w:t>
      </w:r>
    </w:p>
    <w:p w14:paraId="2BA04596" w14:textId="77777777" w:rsidR="00CA208B" w:rsidRPr="00CA208B" w:rsidRDefault="00CA208B" w:rsidP="00CA208B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CA208B">
        <w:rPr>
          <w:rFonts w:asciiTheme="minorHAnsi" w:eastAsiaTheme="minorEastAsia" w:hAnsiTheme="minorHAnsi" w:cs="Calibri"/>
          <w:color w:val="auto"/>
          <w:szCs w:val="24"/>
        </w:rPr>
        <w:t>Réceptionner les repas (déjeuner et dîner) livrés par le traiteur (liaison froide) en suivant les procédures. Préparer les assiettes, couverts, réchauffer les repas…</w:t>
      </w:r>
    </w:p>
    <w:p w14:paraId="3E9A5885" w14:textId="77777777" w:rsidR="00CA208B" w:rsidRPr="00CA208B" w:rsidRDefault="00CA208B" w:rsidP="00CA208B">
      <w:pPr>
        <w:pStyle w:val="Body1"/>
        <w:ind w:left="720"/>
        <w:rPr>
          <w:rFonts w:asciiTheme="minorHAnsi" w:eastAsiaTheme="minorEastAsia" w:hAnsiTheme="minorHAnsi" w:cs="Calibri"/>
          <w:color w:val="auto"/>
          <w:szCs w:val="24"/>
        </w:rPr>
      </w:pPr>
      <w:r w:rsidRPr="00CA208B">
        <w:rPr>
          <w:rFonts w:asciiTheme="minorHAnsi" w:eastAsiaTheme="minorEastAsia" w:hAnsiTheme="minorHAnsi" w:cs="Calibri"/>
          <w:color w:val="auto"/>
          <w:szCs w:val="24"/>
        </w:rPr>
        <w:t>Pour des questions pédagogiques nous invitons les enfants à mettre la table et à débarrasser la table après les repas. Ce sont les adultes accompagnants qui servent les enfants.</w:t>
      </w:r>
    </w:p>
    <w:p w14:paraId="4242B5AA" w14:textId="77777777" w:rsidR="00CA208B" w:rsidRPr="00CA208B" w:rsidRDefault="00CA208B" w:rsidP="00CA208B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CA208B">
        <w:rPr>
          <w:rFonts w:asciiTheme="minorHAnsi" w:eastAsiaTheme="minorEastAsia" w:hAnsiTheme="minorHAnsi" w:cs="Calibri"/>
          <w:color w:val="auto"/>
          <w:szCs w:val="24"/>
        </w:rPr>
        <w:t>Laver et ranger la vaisselle (utilisation d’un lave-vaisselle professionnel à capot)</w:t>
      </w:r>
    </w:p>
    <w:p w14:paraId="14402250" w14:textId="77777777" w:rsidR="00CA208B" w:rsidRPr="00CA208B" w:rsidRDefault="00CA208B" w:rsidP="00CA208B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CA208B">
        <w:rPr>
          <w:rFonts w:asciiTheme="minorHAnsi" w:eastAsiaTheme="minorEastAsia" w:hAnsiTheme="minorHAnsi" w:cs="Calibri"/>
          <w:color w:val="auto"/>
          <w:szCs w:val="24"/>
        </w:rPr>
        <w:t>Rendre compte au responsable du service de tout dysfonctionnement ou de toute anomalie</w:t>
      </w:r>
    </w:p>
    <w:p w14:paraId="7B710B95" w14:textId="77777777" w:rsidR="00CA208B" w:rsidRPr="00CA208B" w:rsidRDefault="00CA208B" w:rsidP="00CA208B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CA208B">
        <w:rPr>
          <w:rFonts w:asciiTheme="minorHAnsi" w:eastAsiaTheme="minorEastAsia" w:hAnsiTheme="minorHAnsi" w:cs="Calibri"/>
          <w:color w:val="auto"/>
          <w:szCs w:val="24"/>
        </w:rPr>
        <w:t>Respecter toutes les règles d’hygiène et sécurité</w:t>
      </w:r>
    </w:p>
    <w:p w14:paraId="054BDA3D" w14:textId="24C91CCF" w:rsidR="00566E9F" w:rsidRDefault="00566E9F" w:rsidP="004A4CD9">
      <w:pPr>
        <w:rPr>
          <w:b/>
        </w:rPr>
      </w:pPr>
    </w:p>
    <w:p w14:paraId="5262E700" w14:textId="77777777" w:rsidR="009B0545" w:rsidRDefault="009B0545" w:rsidP="004A4CD9">
      <w:pPr>
        <w:rPr>
          <w:b/>
        </w:rPr>
      </w:pPr>
    </w:p>
    <w:p w14:paraId="33A62FC6" w14:textId="77777777" w:rsidR="009B0545" w:rsidRPr="009B0545" w:rsidRDefault="009B0545" w:rsidP="009B0545">
      <w:pPr>
        <w:pStyle w:val="Body1"/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hAnsiTheme="minorHAnsi"/>
          <w:b/>
          <w:szCs w:val="24"/>
        </w:rPr>
        <w:t>Compétences et qualités requises</w:t>
      </w:r>
      <w:r w:rsidRPr="00960FFC">
        <w:rPr>
          <w:rFonts w:asciiTheme="minorHAnsi" w:hAnsiTheme="minorHAnsi"/>
          <w:szCs w:val="24"/>
        </w:rPr>
        <w:t> :</w:t>
      </w:r>
      <w:r w:rsidRPr="00960FFC">
        <w:rPr>
          <w:rFonts w:asciiTheme="minorHAnsi" w:hAnsiTheme="minorHAnsi"/>
          <w:szCs w:val="24"/>
          <w:u w:val="single"/>
        </w:rPr>
        <w:t xml:space="preserve"> </w:t>
      </w:r>
    </w:p>
    <w:p w14:paraId="09838EF5" w14:textId="5ED82D91" w:rsidR="009B0545" w:rsidRPr="009B0545" w:rsidRDefault="009B0545" w:rsidP="009B0545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eastAsiaTheme="minorEastAsia" w:hAnsiTheme="minorHAnsi" w:cs="Calibri"/>
          <w:color w:val="auto"/>
          <w:szCs w:val="24"/>
        </w:rPr>
        <w:t xml:space="preserve">Bonne présentation, dynamisme, réactivité et rigueur </w:t>
      </w:r>
    </w:p>
    <w:p w14:paraId="5BE3C0DF" w14:textId="1618372A" w:rsidR="009B0545" w:rsidRPr="009B0545" w:rsidRDefault="009B0545" w:rsidP="009B0545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eastAsiaTheme="minorEastAsia" w:hAnsiTheme="minorHAnsi" w:cs="Calibri"/>
          <w:color w:val="auto"/>
          <w:szCs w:val="24"/>
        </w:rPr>
        <w:t>Capacité d’adaptation (situations de travail, rythmes d’activité…)</w:t>
      </w:r>
    </w:p>
    <w:p w14:paraId="4B6B14E3" w14:textId="05A39000" w:rsidR="009B0545" w:rsidRPr="009B0545" w:rsidRDefault="009B0545" w:rsidP="009B0545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eastAsiaTheme="minorEastAsia" w:hAnsiTheme="minorHAnsi" w:cs="Calibri"/>
          <w:color w:val="auto"/>
          <w:szCs w:val="24"/>
        </w:rPr>
        <w:t>Qualités relationnelles (discrétion, honnêteté, amabilité)</w:t>
      </w:r>
    </w:p>
    <w:p w14:paraId="660D1530" w14:textId="6D4430EF" w:rsidR="009B0545" w:rsidRPr="009B0545" w:rsidRDefault="009B0545" w:rsidP="009B0545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eastAsiaTheme="minorEastAsia" w:hAnsiTheme="minorHAnsi" w:cs="Calibri"/>
          <w:color w:val="auto"/>
          <w:szCs w:val="24"/>
        </w:rPr>
        <w:t>Esprit d’équipe</w:t>
      </w:r>
    </w:p>
    <w:p w14:paraId="1EF2D2A4" w14:textId="2A0C1AD9" w:rsidR="009B0545" w:rsidRPr="009B0545" w:rsidRDefault="009B0545" w:rsidP="009B0545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eastAsiaTheme="minorEastAsia" w:hAnsiTheme="minorHAnsi" w:cs="Calibri"/>
          <w:color w:val="auto"/>
          <w:szCs w:val="24"/>
        </w:rPr>
        <w:t>Respect des règles d’hygiène et de sécurité</w:t>
      </w:r>
    </w:p>
    <w:p w14:paraId="1A27F136" w14:textId="3744C584" w:rsidR="009B0545" w:rsidRDefault="009B0545" w:rsidP="009B0545">
      <w:pPr>
        <w:pStyle w:val="Body1"/>
        <w:rPr>
          <w:rFonts w:asciiTheme="minorHAnsi" w:eastAsiaTheme="minorEastAsia" w:hAnsiTheme="minorHAnsi" w:cs="Calibri"/>
          <w:color w:val="auto"/>
          <w:szCs w:val="24"/>
        </w:rPr>
      </w:pPr>
    </w:p>
    <w:p w14:paraId="645A1C9D" w14:textId="77777777" w:rsidR="009B0545" w:rsidRPr="009B0545" w:rsidRDefault="009B0545" w:rsidP="009B0545">
      <w:pPr>
        <w:pStyle w:val="Body1"/>
        <w:rPr>
          <w:rFonts w:asciiTheme="minorHAnsi" w:eastAsiaTheme="minorEastAsia" w:hAnsiTheme="minorHAnsi" w:cs="Calibri"/>
          <w:color w:val="auto"/>
          <w:szCs w:val="24"/>
        </w:rPr>
      </w:pPr>
    </w:p>
    <w:p w14:paraId="445B03A4" w14:textId="77777777" w:rsidR="009B0545" w:rsidRPr="009B0545" w:rsidRDefault="009B0545" w:rsidP="009B0545">
      <w:pPr>
        <w:pStyle w:val="Body1"/>
        <w:rPr>
          <w:rFonts w:asciiTheme="minorHAnsi" w:hAnsiTheme="minorHAnsi"/>
          <w:b/>
          <w:szCs w:val="24"/>
        </w:rPr>
      </w:pPr>
      <w:r w:rsidRPr="009B0545">
        <w:rPr>
          <w:rFonts w:asciiTheme="minorHAnsi" w:hAnsiTheme="minorHAnsi"/>
          <w:b/>
          <w:szCs w:val="24"/>
        </w:rPr>
        <w:t>Formation souhaitée :</w:t>
      </w:r>
    </w:p>
    <w:p w14:paraId="72A778CD" w14:textId="2AB80685" w:rsidR="009B0545" w:rsidRPr="009B0545" w:rsidRDefault="009B0545" w:rsidP="009B0545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eastAsiaTheme="minorEastAsia" w:hAnsiTheme="minorHAnsi" w:cs="Calibri"/>
          <w:color w:val="auto"/>
          <w:szCs w:val="24"/>
        </w:rPr>
        <w:t>CAP maintenance et hygiène des locaux</w:t>
      </w:r>
      <w:r>
        <w:rPr>
          <w:rFonts w:asciiTheme="minorHAnsi" w:eastAsiaTheme="minorEastAsia" w:hAnsiTheme="minorHAnsi" w:cs="Calibri"/>
          <w:color w:val="auto"/>
          <w:szCs w:val="24"/>
        </w:rPr>
        <w:t xml:space="preserve"> ou</w:t>
      </w:r>
    </w:p>
    <w:p w14:paraId="1DD24297" w14:textId="0112EBE5" w:rsidR="009B0545" w:rsidRPr="009B0545" w:rsidRDefault="009B0545" w:rsidP="009B0545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eastAsiaTheme="minorEastAsia" w:hAnsiTheme="minorHAnsi" w:cs="Calibri"/>
          <w:color w:val="auto"/>
          <w:szCs w:val="24"/>
        </w:rPr>
        <w:t>BEP métiers de l’hygiène</w:t>
      </w:r>
      <w:r>
        <w:rPr>
          <w:rFonts w:asciiTheme="minorHAnsi" w:eastAsiaTheme="minorEastAsia" w:hAnsiTheme="minorHAnsi" w:cs="Calibri"/>
          <w:color w:val="auto"/>
          <w:szCs w:val="24"/>
        </w:rPr>
        <w:t xml:space="preserve"> ou</w:t>
      </w:r>
    </w:p>
    <w:p w14:paraId="265166E9" w14:textId="02021415" w:rsidR="009B0545" w:rsidRPr="009B0545" w:rsidRDefault="009B0545" w:rsidP="009B0545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eastAsiaTheme="minorEastAsia" w:hAnsiTheme="minorHAnsi" w:cs="Calibri"/>
          <w:color w:val="auto"/>
          <w:szCs w:val="24"/>
        </w:rPr>
        <w:t>BAC professionnel hygiène et environnement</w:t>
      </w:r>
      <w:r>
        <w:rPr>
          <w:rFonts w:asciiTheme="minorHAnsi" w:eastAsiaTheme="minorEastAsia" w:hAnsiTheme="minorHAnsi" w:cs="Calibri"/>
          <w:color w:val="auto"/>
          <w:szCs w:val="24"/>
        </w:rPr>
        <w:t xml:space="preserve"> </w:t>
      </w:r>
      <w:proofErr w:type="gramStart"/>
      <w:r>
        <w:rPr>
          <w:rFonts w:asciiTheme="minorHAnsi" w:eastAsiaTheme="minorEastAsia" w:hAnsiTheme="minorHAnsi" w:cs="Calibri"/>
          <w:color w:val="auto"/>
          <w:szCs w:val="24"/>
        </w:rPr>
        <w:t>ou</w:t>
      </w:r>
      <w:proofErr w:type="gramEnd"/>
    </w:p>
    <w:p w14:paraId="1BE5BA22" w14:textId="77777777" w:rsidR="009B0545" w:rsidRPr="009B0545" w:rsidRDefault="009B0545" w:rsidP="009B0545">
      <w:pPr>
        <w:pStyle w:val="Body1"/>
        <w:numPr>
          <w:ilvl w:val="0"/>
          <w:numId w:val="3"/>
        </w:numPr>
        <w:rPr>
          <w:rFonts w:asciiTheme="minorHAnsi" w:eastAsiaTheme="minorEastAsia" w:hAnsiTheme="minorHAnsi" w:cs="Calibri"/>
          <w:color w:val="auto"/>
          <w:szCs w:val="24"/>
        </w:rPr>
      </w:pPr>
      <w:r w:rsidRPr="009B0545">
        <w:rPr>
          <w:rFonts w:asciiTheme="minorHAnsi" w:eastAsiaTheme="minorEastAsia" w:hAnsiTheme="minorHAnsi" w:cs="Calibri"/>
          <w:color w:val="auto"/>
          <w:szCs w:val="24"/>
        </w:rPr>
        <w:t>Compétences acquises dans le cadre d’une expérience professionnelle</w:t>
      </w:r>
    </w:p>
    <w:p w14:paraId="57227AC0" w14:textId="77777777" w:rsidR="009B0545" w:rsidRPr="009B0545" w:rsidRDefault="009B0545" w:rsidP="009B0545">
      <w:pPr>
        <w:pStyle w:val="Body1"/>
        <w:ind w:left="360"/>
        <w:rPr>
          <w:rFonts w:asciiTheme="minorHAnsi" w:eastAsiaTheme="minorEastAsia" w:hAnsiTheme="minorHAnsi" w:cs="Calibri"/>
          <w:color w:val="auto"/>
          <w:szCs w:val="24"/>
        </w:rPr>
      </w:pPr>
    </w:p>
    <w:p w14:paraId="6AC7CCE1" w14:textId="4A000849" w:rsidR="004A4CD9" w:rsidRDefault="004A4CD9" w:rsidP="004A4CD9">
      <w:pPr>
        <w:rPr>
          <w:b/>
        </w:rPr>
      </w:pPr>
    </w:p>
    <w:p w14:paraId="7E4AC636" w14:textId="77777777" w:rsidR="00566E9F" w:rsidRDefault="00566E9F" w:rsidP="004A4CD9">
      <w:pPr>
        <w:rPr>
          <w:b/>
        </w:rPr>
      </w:pPr>
    </w:p>
    <w:p w14:paraId="0E0BB200" w14:textId="77777777" w:rsidR="004A4CD9" w:rsidRPr="00324D63" w:rsidRDefault="004A4CD9" w:rsidP="004A4CD9">
      <w:pPr>
        <w:rPr>
          <w:b/>
        </w:rPr>
      </w:pPr>
      <w:r w:rsidRPr="00324D63">
        <w:rPr>
          <w:b/>
        </w:rPr>
        <w:t>Contrat</w:t>
      </w:r>
    </w:p>
    <w:p w14:paraId="2D4137D0" w14:textId="61473A6F" w:rsidR="00CA208B" w:rsidRPr="00CA208B" w:rsidRDefault="004A4CD9" w:rsidP="004A4CD9">
      <w:pPr>
        <w:pStyle w:val="Paragraphedeliste"/>
        <w:numPr>
          <w:ilvl w:val="0"/>
          <w:numId w:val="1"/>
        </w:numPr>
      </w:pPr>
      <w:r>
        <w:t>CDD de 6</w:t>
      </w:r>
      <w:r w:rsidR="00CA208B">
        <w:t xml:space="preserve"> mois</w:t>
      </w:r>
      <w:r>
        <w:t xml:space="preserve">. </w:t>
      </w:r>
      <w:r w:rsidR="00CA208B">
        <w:rPr>
          <w:szCs w:val="24"/>
        </w:rPr>
        <w:t>Poste à pourvoir à partir de mars 2023</w:t>
      </w:r>
      <w:r w:rsidR="00CA208B" w:rsidRPr="00CA208B">
        <w:t xml:space="preserve"> </w:t>
      </w:r>
      <w:r w:rsidR="00CA208B">
        <w:t>avec formation mise en place par l’Écomusée</w:t>
      </w:r>
    </w:p>
    <w:p w14:paraId="71B870F4" w14:textId="7310988F" w:rsidR="004A4CD9" w:rsidRDefault="00CA208B" w:rsidP="004A4CD9">
      <w:pPr>
        <w:pStyle w:val="Paragraphedeliste"/>
        <w:numPr>
          <w:ilvl w:val="0"/>
          <w:numId w:val="1"/>
        </w:numPr>
      </w:pPr>
      <w:r>
        <w:t xml:space="preserve">Salaire : SMIC - </w:t>
      </w:r>
      <w:r w:rsidR="004A4CD9">
        <w:t>Convention collective des espaces de loisirs, d’attractions et culturels</w:t>
      </w:r>
    </w:p>
    <w:p w14:paraId="4BD2415E" w14:textId="44BA787D" w:rsidR="004A4CD9" w:rsidRDefault="00D93877" w:rsidP="004A4CD9">
      <w:pPr>
        <w:pStyle w:val="Paragraphedeliste"/>
        <w:numPr>
          <w:ilvl w:val="0"/>
          <w:numId w:val="1"/>
        </w:numPr>
      </w:pPr>
      <w:r>
        <w:t>25</w:t>
      </w:r>
      <w:r w:rsidR="004A4CD9">
        <w:t xml:space="preserve">h hebdomadaires annualisées </w:t>
      </w:r>
      <w:r w:rsidR="00CA208B">
        <w:t>du lundi au vendredi</w:t>
      </w:r>
      <w:r w:rsidR="004A4CD9">
        <w:t xml:space="preserve">– Le candidat pourra </w:t>
      </w:r>
      <w:r w:rsidR="00CA208B">
        <w:t xml:space="preserve">très </w:t>
      </w:r>
      <w:r w:rsidR="004A4CD9">
        <w:t>ponctuellement travailler le samedi ou le dimanche</w:t>
      </w:r>
      <w:r w:rsidR="00CA208B">
        <w:t xml:space="preserve">. </w:t>
      </w:r>
    </w:p>
    <w:p w14:paraId="1F1AC55A" w14:textId="00C91D6D" w:rsidR="00CA208B" w:rsidRDefault="00CA208B" w:rsidP="00CA208B">
      <w:pPr>
        <w:pStyle w:val="Paragraphedeliste"/>
      </w:pPr>
      <w:r w:rsidRPr="00CA208B">
        <w:t>Trav</w:t>
      </w:r>
      <w:bookmarkStart w:id="0" w:name="_GoBack"/>
      <w:bookmarkEnd w:id="0"/>
      <w:r w:rsidRPr="00CA208B">
        <w:t xml:space="preserve">ail en général de 7h30 à 14h30 </w:t>
      </w:r>
      <w:r w:rsidR="00D93877">
        <w:t>et/</w:t>
      </w:r>
      <w:r w:rsidRPr="00D93877">
        <w:t>ou</w:t>
      </w:r>
      <w:r w:rsidRPr="00CA208B">
        <w:t xml:space="preserve"> de 15h30 à 21h </w:t>
      </w:r>
    </w:p>
    <w:p w14:paraId="1330DDA1" w14:textId="77777777" w:rsidR="009B0545" w:rsidRDefault="009B0545" w:rsidP="004A4CD9">
      <w:pPr>
        <w:ind w:left="360"/>
        <w:contextualSpacing/>
      </w:pPr>
    </w:p>
    <w:p w14:paraId="26A0A43C" w14:textId="70088DB2" w:rsidR="004A4CD9" w:rsidRDefault="004A4CD9" w:rsidP="004A4CD9">
      <w:pPr>
        <w:ind w:left="360"/>
        <w:contextualSpacing/>
        <w:rPr>
          <w:rStyle w:val="Lienhypertexte"/>
        </w:rPr>
      </w:pPr>
      <w:r>
        <w:t xml:space="preserve">CV </w:t>
      </w:r>
      <w:r w:rsidR="003933F2">
        <w:rPr>
          <w:b/>
        </w:rPr>
        <w:t>ET</w:t>
      </w:r>
      <w:r>
        <w:t xml:space="preserve"> lettre de motivation :</w:t>
      </w:r>
      <w:r>
        <w:tab/>
      </w:r>
      <w:hyperlink r:id="rId7" w:history="1">
        <w:r w:rsidR="00566E9F" w:rsidRPr="005663AA">
          <w:rPr>
            <w:rStyle w:val="Lienhypertexte"/>
          </w:rPr>
          <w:t>helene.strammiello@ecomusee.alsace</w:t>
        </w:r>
      </w:hyperlink>
    </w:p>
    <w:p w14:paraId="1BD18CBD" w14:textId="77777777" w:rsidR="00CA208B" w:rsidRPr="00960FFC" w:rsidRDefault="00CA208B" w:rsidP="00CA208B">
      <w:pPr>
        <w:pStyle w:val="Body1"/>
        <w:rPr>
          <w:rFonts w:asciiTheme="minorHAnsi" w:hAnsiTheme="minorHAnsi"/>
          <w:szCs w:val="24"/>
        </w:rPr>
      </w:pPr>
    </w:p>
    <w:p w14:paraId="30298513" w14:textId="77777777" w:rsidR="00920FEA" w:rsidRPr="00F70D2C" w:rsidRDefault="00920FEA" w:rsidP="00F70D2C">
      <w:pPr>
        <w:jc w:val="right"/>
      </w:pPr>
    </w:p>
    <w:sectPr w:rsidR="00920FEA" w:rsidRPr="00F70D2C" w:rsidSect="0063457A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F1CD" w14:textId="77777777" w:rsidR="0063457A" w:rsidRDefault="0063457A" w:rsidP="0063457A">
      <w:r>
        <w:separator/>
      </w:r>
    </w:p>
  </w:endnote>
  <w:endnote w:type="continuationSeparator" w:id="0">
    <w:p w14:paraId="59171D0F" w14:textId="77777777" w:rsidR="0063457A" w:rsidRDefault="0063457A" w:rsidP="0063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5F41" w14:textId="77777777" w:rsidR="0063457A" w:rsidRDefault="0063457A" w:rsidP="0063457A">
    <w:pPr>
      <w:pStyle w:val="Pieddepage"/>
      <w:ind w:hanging="1417"/>
    </w:pPr>
    <w:r>
      <w:rPr>
        <w:noProof/>
      </w:rPr>
      <w:drawing>
        <wp:inline distT="0" distB="0" distL="0" distR="0" wp14:anchorId="3F1AD04A" wp14:editId="02B57A48">
          <wp:extent cx="12049661" cy="572844"/>
          <wp:effectExtent l="0" t="0" r="0" b="1143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asd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64" cy="57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7930" w14:textId="77777777" w:rsidR="0063457A" w:rsidRDefault="0063457A" w:rsidP="0063457A">
      <w:r>
        <w:separator/>
      </w:r>
    </w:p>
  </w:footnote>
  <w:footnote w:type="continuationSeparator" w:id="0">
    <w:p w14:paraId="2DFFB8E3" w14:textId="77777777" w:rsidR="0063457A" w:rsidRDefault="0063457A" w:rsidP="0063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2468" w14:textId="77777777" w:rsidR="0063457A" w:rsidRDefault="0063457A" w:rsidP="0063457A">
    <w:pPr>
      <w:pStyle w:val="En-tte"/>
      <w:ind w:left="-1417"/>
    </w:pPr>
    <w:r>
      <w:rPr>
        <w:noProof/>
      </w:rPr>
      <w:drawing>
        <wp:inline distT="0" distB="0" distL="0" distR="0" wp14:anchorId="59F4B5F8" wp14:editId="1BF5C888">
          <wp:extent cx="7798980" cy="130412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ente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153" cy="1306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2E2"/>
    <w:multiLevelType w:val="hybridMultilevel"/>
    <w:tmpl w:val="0BB2E648"/>
    <w:lvl w:ilvl="0" w:tplc="AEB4D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66E39"/>
    <w:multiLevelType w:val="hybridMultilevel"/>
    <w:tmpl w:val="0F9E616E"/>
    <w:lvl w:ilvl="0" w:tplc="88D00A72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7A"/>
    <w:rsid w:val="00235695"/>
    <w:rsid w:val="00303C07"/>
    <w:rsid w:val="003933F2"/>
    <w:rsid w:val="004A4CD9"/>
    <w:rsid w:val="00566E9F"/>
    <w:rsid w:val="0063457A"/>
    <w:rsid w:val="00845E81"/>
    <w:rsid w:val="00920FEA"/>
    <w:rsid w:val="009B0545"/>
    <w:rsid w:val="00CA208B"/>
    <w:rsid w:val="00D106ED"/>
    <w:rsid w:val="00D342C2"/>
    <w:rsid w:val="00D820DD"/>
    <w:rsid w:val="00D93877"/>
    <w:rsid w:val="00E81141"/>
    <w:rsid w:val="00F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EA089"/>
  <w14:defaultImageDpi w14:val="300"/>
  <w15:docId w15:val="{CEAE8D75-065B-4664-992B-4E877D0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5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457A"/>
  </w:style>
  <w:style w:type="paragraph" w:styleId="Pieddepage">
    <w:name w:val="footer"/>
    <w:basedOn w:val="Normal"/>
    <w:link w:val="PieddepageCar"/>
    <w:uiPriority w:val="99"/>
    <w:unhideWhenUsed/>
    <w:rsid w:val="00634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57A"/>
  </w:style>
  <w:style w:type="paragraph" w:styleId="Textedebulles">
    <w:name w:val="Balloon Text"/>
    <w:basedOn w:val="Normal"/>
    <w:link w:val="TextedebullesCar"/>
    <w:uiPriority w:val="99"/>
    <w:semiHidden/>
    <w:unhideWhenUsed/>
    <w:rsid w:val="006345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57A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4CD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A4C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4CD9"/>
    <w:rPr>
      <w:color w:val="605E5C"/>
      <w:shd w:val="clear" w:color="auto" w:fill="E1DFDD"/>
    </w:rPr>
  </w:style>
  <w:style w:type="paragraph" w:customStyle="1" w:styleId="Body1">
    <w:name w:val="Body 1"/>
    <w:rsid w:val="00CA208B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e.strammiello@ecomusee.als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Ecomusée d'Alsace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Barrière</dc:creator>
  <cp:keywords/>
  <dc:description/>
  <cp:lastModifiedBy>Hélène Strammiello</cp:lastModifiedBy>
  <cp:revision>9</cp:revision>
  <cp:lastPrinted>2022-01-12T08:27:00Z</cp:lastPrinted>
  <dcterms:created xsi:type="dcterms:W3CDTF">2020-06-08T14:13:00Z</dcterms:created>
  <dcterms:modified xsi:type="dcterms:W3CDTF">2023-01-14T16:30:00Z</dcterms:modified>
</cp:coreProperties>
</file>